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372" w:type="dxa"/>
        <w:tblBorders>
          <w:bottom w:val="single" w:sz="4" w:space="0" w:color="auto"/>
        </w:tblBorders>
        <w:tblLook w:val="00A0"/>
      </w:tblPr>
      <w:tblGrid>
        <w:gridCol w:w="4502"/>
        <w:gridCol w:w="1945"/>
        <w:gridCol w:w="4143"/>
      </w:tblGrid>
      <w:tr w:rsidR="007F3EDD" w:rsidTr="007F3EDD">
        <w:trPr>
          <w:trHeight w:val="2141"/>
        </w:trPr>
        <w:tc>
          <w:tcPr>
            <w:tcW w:w="45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3EDD" w:rsidRDefault="007F3EDD" w:rsidP="0060405B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7F3EDD" w:rsidRDefault="007F3EDD" w:rsidP="0060405B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F3EDD" w:rsidRDefault="007F3EDD" w:rsidP="0060405B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F3EDD" w:rsidRDefault="007F3EDD" w:rsidP="0060405B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F3EDD" w:rsidRDefault="007F3EDD" w:rsidP="0060405B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F3EDD" w:rsidRDefault="007F3EDD" w:rsidP="0060405B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F3EDD" w:rsidRDefault="007F3EDD" w:rsidP="0060405B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F3EDD" w:rsidRDefault="007F3EDD" w:rsidP="0060405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F3EDD" w:rsidRDefault="007F3EDD" w:rsidP="0060405B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F3EDD" w:rsidRDefault="007F3EDD" w:rsidP="0060405B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F3EDD" w:rsidRDefault="007F3EDD" w:rsidP="0060405B">
            <w:pPr>
              <w:jc w:val="center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3EDD" w:rsidRDefault="007F3EDD" w:rsidP="0060405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EDD" w:rsidRDefault="007F3EDD" w:rsidP="0060405B"/>
          <w:p w:rsidR="007F3EDD" w:rsidRDefault="007F3EDD" w:rsidP="0060405B"/>
          <w:p w:rsidR="007F3EDD" w:rsidRDefault="007F3EDD" w:rsidP="0060405B">
            <w:pPr>
              <w:jc w:val="center"/>
              <w:rPr>
                <w:sz w:val="1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3EDD" w:rsidRDefault="007F3EDD" w:rsidP="007F3EDD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7F3EDD" w:rsidRDefault="007F3EDD" w:rsidP="007F3EDD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F3EDD" w:rsidRDefault="007F3EDD" w:rsidP="007F3EDD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F3EDD" w:rsidRDefault="007F3EDD" w:rsidP="007F3EDD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F3EDD" w:rsidRDefault="007F3EDD" w:rsidP="007F3EDD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F3EDD" w:rsidRDefault="007F3EDD" w:rsidP="007F3ED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F3EDD" w:rsidRDefault="007F3EDD" w:rsidP="007F3ED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F3EDD" w:rsidRDefault="007F3EDD" w:rsidP="007F3ED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F3EDD" w:rsidRDefault="007F3EDD" w:rsidP="007F3EDD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F3EDD" w:rsidRDefault="007F3EDD" w:rsidP="0060405B">
            <w:pPr>
              <w:jc w:val="center"/>
              <w:rPr>
                <w:sz w:val="18"/>
              </w:rPr>
            </w:pPr>
          </w:p>
        </w:tc>
      </w:tr>
    </w:tbl>
    <w:p w:rsidR="007F3EDD" w:rsidRDefault="007F3EDD" w:rsidP="007F3EDD">
      <w:pPr>
        <w:pStyle w:val="a3"/>
        <w:tabs>
          <w:tab w:val="left" w:pos="3228"/>
        </w:tabs>
        <w:rPr>
          <w:rFonts w:ascii="a_Timer(15%) Bashkir" w:hAnsi="a_Timer(15%) Bashkir"/>
          <w:b/>
          <w:lang w:val="ba-RU"/>
        </w:rPr>
      </w:pPr>
      <w:bookmarkStart w:id="0" w:name="_GoBack"/>
      <w:r>
        <w:rPr>
          <w:rFonts w:ascii="a_Timer(15%) Bashkir" w:hAnsi="a_Timer(15%) Bashkir"/>
          <w:b/>
          <w:lang w:val="ba-RU"/>
        </w:rPr>
        <w:t xml:space="preserve">                 </w:t>
      </w:r>
    </w:p>
    <w:p w:rsidR="007F3EDD" w:rsidRDefault="007F3EDD" w:rsidP="007F3EDD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 ҠАРАР                             </w:t>
      </w:r>
      <w:r>
        <w:rPr>
          <w:rFonts w:ascii="a_Timer(15%) Bashkir" w:hAnsi="a_Timer(15%) Bashkir"/>
          <w:b/>
        </w:rPr>
        <w:t xml:space="preserve">  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РЕШЕНИЕ</w:t>
      </w:r>
    </w:p>
    <w:p w:rsidR="007F3EDD" w:rsidRDefault="007F3EDD" w:rsidP="007F3EDD">
      <w:pPr>
        <w:jc w:val="both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</w:t>
      </w:r>
    </w:p>
    <w:p w:rsidR="007F3EDD" w:rsidRDefault="007F3EDD" w:rsidP="007F3EDD">
      <w:pPr>
        <w:jc w:val="both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23 ноябрь  2022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№  16</w:t>
      </w:r>
      <w:r w:rsidR="006A5FCB">
        <w:rPr>
          <w:rFonts w:ascii="a_Timer(15%) Bashkir" w:hAnsi="a_Timer(15%) Bashkir"/>
          <w:b/>
        </w:rPr>
        <w:t>6</w:t>
      </w:r>
      <w:r>
        <w:rPr>
          <w:rFonts w:ascii="a_Timer(15%) Bashkir" w:hAnsi="a_Timer(15%) Bashkir"/>
          <w:b/>
        </w:rPr>
        <w:t xml:space="preserve">                       23 ноября  2022 г.</w:t>
      </w:r>
      <w:bookmarkEnd w:id="0"/>
    </w:p>
    <w:p w:rsidR="00E21108" w:rsidRDefault="00E21108"/>
    <w:p w:rsidR="007F3EDD" w:rsidRDefault="007F3EDD"/>
    <w:p w:rsidR="007F3EDD" w:rsidRDefault="007F3EDD" w:rsidP="007F3EDD">
      <w:pPr>
        <w:ind w:firstLine="708"/>
        <w:jc w:val="center"/>
        <w:rPr>
          <w:b/>
          <w:sz w:val="28"/>
          <w:szCs w:val="28"/>
        </w:rPr>
      </w:pPr>
      <w:r w:rsidRPr="00F247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</w:t>
      </w:r>
      <w:r w:rsidRPr="00F247F1">
        <w:rPr>
          <w:b/>
          <w:sz w:val="28"/>
          <w:szCs w:val="28"/>
        </w:rPr>
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</w:t>
      </w:r>
      <w:r>
        <w:rPr>
          <w:b/>
          <w:sz w:val="28"/>
          <w:szCs w:val="28"/>
        </w:rPr>
        <w:t>йской Федерации,  предоставлении</w:t>
      </w:r>
      <w:r w:rsidRPr="00F247F1">
        <w:rPr>
          <w:b/>
          <w:sz w:val="28"/>
          <w:szCs w:val="28"/>
        </w:rPr>
        <w:t xml:space="preserve"> возможности расторжения договоров аренды без применения штрафных санкций</w:t>
      </w:r>
    </w:p>
    <w:p w:rsidR="007F3EDD" w:rsidRPr="00F247F1" w:rsidRDefault="007F3EDD" w:rsidP="007F3EDD">
      <w:pPr>
        <w:ind w:firstLine="708"/>
        <w:jc w:val="center"/>
        <w:rPr>
          <w:b/>
          <w:sz w:val="28"/>
          <w:szCs w:val="28"/>
        </w:rPr>
      </w:pP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 xml:space="preserve">В соответствии с пунктом 7 распоряжения Правительства Российской Федерации от 15.10.2022 № 3046-р, Совет </w:t>
      </w:r>
      <w:r>
        <w:rPr>
          <w:sz w:val="28"/>
          <w:szCs w:val="28"/>
        </w:rPr>
        <w:t xml:space="preserve">сельского поселения Кызыльский сельсовет муниципального района Альшеевский район  </w:t>
      </w:r>
      <w:r w:rsidRPr="0009384E">
        <w:rPr>
          <w:sz w:val="28"/>
          <w:szCs w:val="28"/>
        </w:rPr>
        <w:t xml:space="preserve">Республики Башкортостан </w:t>
      </w:r>
      <w:r w:rsidRPr="0009384E">
        <w:rPr>
          <w:b/>
          <w:sz w:val="28"/>
          <w:szCs w:val="28"/>
        </w:rPr>
        <w:t>РЕШИЛ</w:t>
      </w:r>
      <w:r w:rsidRPr="0009384E">
        <w:rPr>
          <w:sz w:val="28"/>
          <w:szCs w:val="28"/>
        </w:rPr>
        <w:t>: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 xml:space="preserve">1. </w:t>
      </w:r>
      <w:proofErr w:type="gramStart"/>
      <w:r w:rsidRPr="000938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Кызыльский сельсовет </w:t>
      </w:r>
      <w:r w:rsidRPr="0009384E">
        <w:rPr>
          <w:sz w:val="28"/>
          <w:szCs w:val="28"/>
        </w:rPr>
        <w:t xml:space="preserve">муниципального района Альшеевский район Республики Башкортостан по договорам аренды муниципального имущества, составляющего казну </w:t>
      </w:r>
      <w:r>
        <w:rPr>
          <w:sz w:val="28"/>
          <w:szCs w:val="28"/>
        </w:rPr>
        <w:t xml:space="preserve">сельского поселения Кызыльский сельсовет </w:t>
      </w:r>
      <w:r w:rsidRPr="0009384E">
        <w:rPr>
          <w:sz w:val="28"/>
          <w:szCs w:val="28"/>
        </w:rPr>
        <w:t xml:space="preserve">муниципального района Альшеевский район Республики Башкортостан (в том числе земельных участков,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Кызыльский сельсовет </w:t>
      </w:r>
      <w:r w:rsidRPr="0009384E">
        <w:rPr>
          <w:sz w:val="28"/>
          <w:szCs w:val="28"/>
        </w:rPr>
        <w:t>муниципального района Альшеевский район Республики Башкортостан), муниципального имущества, закрепленного на праве оперативного управления за муниципальными учреждениями муниципального района Альшеевский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>район Республики Башкортостан и на праве хозяйственного ведения за муниципальными предприятиями муниципального района Альшеевский район Республики Башкортостан,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 xml:space="preserve">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</w:t>
      </w:r>
      <w:r w:rsidRPr="0009384E">
        <w:rPr>
          <w:sz w:val="28"/>
          <w:szCs w:val="28"/>
        </w:rPr>
        <w:lastRenderedPageBreak/>
        <w:t>проходящие военную службу по контракту, заключенному в соответствии с пунктом 7 статьи 38 Федерального закона «О воинской обязанности и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>военной службе» (далее – Федеральный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>закон), либо заключившие контракт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>о добровольном содействии в</w:t>
      </w:r>
      <w:proofErr w:type="gramEnd"/>
      <w:r w:rsidRPr="0009384E">
        <w:rPr>
          <w:sz w:val="28"/>
          <w:szCs w:val="28"/>
        </w:rPr>
        <w:t xml:space="preserve"> </w:t>
      </w:r>
      <w:proofErr w:type="gramStart"/>
      <w:r w:rsidRPr="0009384E">
        <w:rPr>
          <w:sz w:val="28"/>
          <w:szCs w:val="28"/>
        </w:rPr>
        <w:t>выполнении</w:t>
      </w:r>
      <w:proofErr w:type="gramEnd"/>
      <w:r w:rsidRPr="0009384E">
        <w:rPr>
          <w:sz w:val="28"/>
          <w:szCs w:val="28"/>
        </w:rPr>
        <w:t xml:space="preserve"> задач, возложенных на Вооруженные Силы Российской Федерации, обеспечить: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9384E">
        <w:rPr>
          <w:sz w:val="28"/>
          <w:szCs w:val="28"/>
        </w:rPr>
        <w:t xml:space="preserve">, </w:t>
      </w:r>
      <w:proofErr w:type="gramStart"/>
      <w:r w:rsidRPr="0009384E">
        <w:rPr>
          <w:sz w:val="28"/>
          <w:szCs w:val="28"/>
        </w:rPr>
        <w:t>предоставленного</w:t>
      </w:r>
      <w:proofErr w:type="gramEnd"/>
      <w:r w:rsidRPr="0009384E">
        <w:rPr>
          <w:sz w:val="28"/>
          <w:szCs w:val="28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</w:t>
      </w:r>
      <w:r>
        <w:rPr>
          <w:sz w:val="28"/>
          <w:szCs w:val="28"/>
        </w:rPr>
        <w:t xml:space="preserve">             </w:t>
      </w:r>
      <w:r w:rsidRPr="0009384E">
        <w:rPr>
          <w:sz w:val="28"/>
          <w:szCs w:val="28"/>
        </w:rPr>
        <w:lastRenderedPageBreak/>
        <w:t>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84E">
        <w:rPr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09384E">
        <w:rPr>
          <w:sz w:val="28"/>
          <w:szCs w:val="28"/>
        </w:rPr>
        <w:t xml:space="preserve"> исполнительной власти Республики Башкортостан, с которым заключены указанные контракты;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F3EDD" w:rsidRPr="0009384E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84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F3EDD" w:rsidRPr="001461C8" w:rsidRDefault="007F3EDD" w:rsidP="007F3ED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8">
        <w:rPr>
          <w:sz w:val="28"/>
          <w:szCs w:val="28"/>
        </w:rPr>
        <w:t>4. Настоящее решение подлежит обнародованию в установленном порядке и вступает в силу со дня его официального обнародования.</w:t>
      </w:r>
    </w:p>
    <w:p w:rsidR="007F3EDD" w:rsidRPr="0009384E" w:rsidRDefault="007F3EDD" w:rsidP="007F3EDD">
      <w:pPr>
        <w:tabs>
          <w:tab w:val="left" w:pos="709"/>
        </w:tabs>
        <w:jc w:val="both"/>
        <w:rPr>
          <w:sz w:val="28"/>
          <w:szCs w:val="28"/>
        </w:rPr>
      </w:pPr>
      <w:r w:rsidRPr="001461C8">
        <w:rPr>
          <w:sz w:val="28"/>
          <w:szCs w:val="28"/>
        </w:rPr>
        <w:t xml:space="preserve">         5.  </w:t>
      </w:r>
      <w:proofErr w:type="gramStart"/>
      <w:r w:rsidRPr="001461C8">
        <w:rPr>
          <w:sz w:val="28"/>
          <w:szCs w:val="28"/>
        </w:rPr>
        <w:t>Контроль за</w:t>
      </w:r>
      <w:proofErr w:type="gramEnd"/>
      <w:r w:rsidRPr="001461C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Кызыльский сельсовет </w:t>
      </w:r>
      <w:r w:rsidRPr="001461C8">
        <w:rPr>
          <w:sz w:val="28"/>
          <w:szCs w:val="28"/>
        </w:rPr>
        <w:t>муниципального района Альшеевский район Республики Башкортостан по бюджету, налогам и вопросам собственности.</w:t>
      </w:r>
      <w:r w:rsidRPr="0009384E">
        <w:rPr>
          <w:sz w:val="28"/>
          <w:szCs w:val="28"/>
        </w:rPr>
        <w:t xml:space="preserve"> </w:t>
      </w:r>
    </w:p>
    <w:p w:rsidR="007F3EDD" w:rsidRPr="0009384E" w:rsidRDefault="007F3EDD" w:rsidP="007F3EDD">
      <w:pPr>
        <w:autoSpaceDE w:val="0"/>
        <w:autoSpaceDN w:val="0"/>
        <w:adjustRightInd w:val="0"/>
        <w:rPr>
          <w:sz w:val="28"/>
          <w:szCs w:val="28"/>
        </w:rPr>
      </w:pPr>
    </w:p>
    <w:p w:rsidR="007F3EDD" w:rsidRPr="004E448B" w:rsidRDefault="007F3EDD" w:rsidP="007F3EDD">
      <w:pPr>
        <w:spacing w:before="20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  <w:r>
        <w:rPr>
          <w:sz w:val="28"/>
          <w:szCs w:val="28"/>
        </w:rPr>
        <w:t xml:space="preserve">        </w:t>
      </w:r>
    </w:p>
    <w:p w:rsidR="007F3EDD" w:rsidRDefault="007F3EDD" w:rsidP="007F3EDD">
      <w:pPr>
        <w:autoSpaceDE w:val="0"/>
        <w:autoSpaceDN w:val="0"/>
        <w:adjustRightInd w:val="0"/>
        <w:rPr>
          <w:sz w:val="28"/>
          <w:szCs w:val="28"/>
        </w:rPr>
      </w:pPr>
    </w:p>
    <w:p w:rsidR="007F3EDD" w:rsidRDefault="007F3EDD"/>
    <w:sectPr w:rsidR="007F3EDD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DD"/>
    <w:rsid w:val="001157C1"/>
    <w:rsid w:val="002F67A8"/>
    <w:rsid w:val="00534AB8"/>
    <w:rsid w:val="00627084"/>
    <w:rsid w:val="006A5FCB"/>
    <w:rsid w:val="006B0295"/>
    <w:rsid w:val="007A39F7"/>
    <w:rsid w:val="007F3EDD"/>
    <w:rsid w:val="00BC016A"/>
    <w:rsid w:val="00E21108"/>
    <w:rsid w:val="00E400ED"/>
    <w:rsid w:val="00E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qFormat/>
    <w:rsid w:val="007F3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7F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2022-11-17T04:37:00Z</dcterms:created>
  <dcterms:modified xsi:type="dcterms:W3CDTF">2022-11-17T05:04:00Z</dcterms:modified>
</cp:coreProperties>
</file>